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5CFE10" w14:textId="22D16279" w:rsidR="00246246" w:rsidRDefault="00522EAA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00004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F93DAA" wp14:editId="6A9EC07F">
            <wp:simplePos x="0" y="0"/>
            <wp:positionH relativeFrom="column">
              <wp:posOffset>4316095</wp:posOffset>
            </wp:positionH>
            <wp:positionV relativeFrom="paragraph">
              <wp:posOffset>-644599</wp:posOffset>
            </wp:positionV>
            <wp:extent cx="2176145" cy="719455"/>
            <wp:effectExtent l="0" t="0" r="0" b="0"/>
            <wp:wrapNone/>
            <wp:docPr id="1" name="image1.jpg" descr="G:\Insight\Insight Secretary Handover 2011\Insight logo_blue_neat ed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:\Insight\Insight Secretary Handover 2011\Insight logo_blue_neat edg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0041D">
        <w:rPr>
          <w:rFonts w:ascii="Belleza" w:eastAsia="Belleza" w:hAnsi="Belleza" w:cs="Belleza"/>
          <w:b/>
          <w:color w:val="00004C"/>
          <w:sz w:val="32"/>
          <w:szCs w:val="32"/>
        </w:rPr>
        <w:t>Event Coordinators</w:t>
      </w:r>
    </w:p>
    <w:p w14:paraId="738BB4DB" w14:textId="1AF5D97D" w:rsidR="00246246" w:rsidRDefault="00A85419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4A86E8"/>
        </w:rPr>
      </w:pPr>
      <w:r>
        <w:rPr>
          <w:rFonts w:ascii="Belleza" w:eastAsia="Belleza" w:hAnsi="Belleza" w:cs="Belleza"/>
          <w:b/>
          <w:color w:val="4A86E8"/>
        </w:rPr>
        <w:t xml:space="preserve">2021: </w:t>
      </w:r>
      <w:r w:rsidR="005E0202">
        <w:rPr>
          <w:rFonts w:ascii="Belleza" w:eastAsia="Belleza" w:hAnsi="Belleza" w:cs="Belleza"/>
          <w:b/>
          <w:color w:val="4A86E8"/>
        </w:rPr>
        <w:t>Kelly Hou</w:t>
      </w:r>
      <w:r w:rsidR="0060041D">
        <w:rPr>
          <w:rFonts w:ascii="Belleza" w:eastAsia="Belleza" w:hAnsi="Belleza" w:cs="Belleza"/>
          <w:b/>
          <w:color w:val="4A86E8"/>
        </w:rPr>
        <w:t xml:space="preserve"> (MBBS II) and </w:t>
      </w:r>
      <w:r w:rsidR="005E0202">
        <w:rPr>
          <w:rFonts w:ascii="Belleza" w:eastAsia="Belleza" w:hAnsi="Belleza" w:cs="Belleza"/>
          <w:b/>
          <w:color w:val="4A86E8"/>
        </w:rPr>
        <w:t>Christine Xu</w:t>
      </w:r>
      <w:r w:rsidR="00581CFB">
        <w:rPr>
          <w:rFonts w:ascii="Belleza" w:eastAsia="Belleza" w:hAnsi="Belleza" w:cs="Belleza"/>
          <w:b/>
          <w:color w:val="4A86E8"/>
        </w:rPr>
        <w:t xml:space="preserve"> </w:t>
      </w:r>
      <w:r w:rsidR="0060041D">
        <w:rPr>
          <w:rFonts w:ascii="Belleza" w:eastAsia="Belleza" w:hAnsi="Belleza" w:cs="Belleza"/>
          <w:b/>
          <w:color w:val="4A86E8"/>
        </w:rPr>
        <w:t xml:space="preserve">(MBBS II) </w:t>
      </w:r>
    </w:p>
    <w:p w14:paraId="51A617F0" w14:textId="77777777" w:rsidR="00246246" w:rsidRDefault="00C56B73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A50021"/>
        </w:rPr>
      </w:pPr>
      <w:hyperlink r:id="rId8">
        <w:r w:rsidR="0060041D">
          <w:rPr>
            <w:rFonts w:ascii="Belleza" w:eastAsia="Belleza" w:hAnsi="Belleza" w:cs="Belleza"/>
            <w:b/>
            <w:color w:val="1155CC"/>
            <w:u w:val="single"/>
          </w:rPr>
          <w:t>events@insight.org.au</w:t>
        </w:r>
      </w:hyperlink>
      <w:r w:rsidR="0060041D">
        <w:rPr>
          <w:rFonts w:ascii="Belleza" w:eastAsia="Belleza" w:hAnsi="Belleza" w:cs="Belleza"/>
          <w:b/>
          <w:color w:val="A50021"/>
        </w:rPr>
        <w:t xml:space="preserve"> </w:t>
      </w:r>
    </w:p>
    <w:p w14:paraId="6BF13F0E" w14:textId="77777777" w:rsidR="00246246" w:rsidRDefault="0024624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56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325"/>
      </w:tblGrid>
      <w:tr w:rsidR="00246246" w14:paraId="3FC5233D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10CF95E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Name of position: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C7599A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Events Coordinators</w:t>
            </w:r>
          </w:p>
        </w:tc>
      </w:tr>
      <w:tr w:rsidR="00246246" w14:paraId="3C5FAC29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08E5C124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Elected: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F3DB8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At AGM, by secret ballot </w:t>
            </w:r>
          </w:p>
        </w:tc>
      </w:tr>
      <w:tr w:rsidR="00246246" w14:paraId="1F3D4793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D5C8586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Position description and main roles: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13D8E8" w14:textId="648EC4C2" w:rsidR="00A85419" w:rsidRDefault="00A8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Engaging,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Rewarding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Inspiring</w:t>
            </w:r>
          </w:p>
          <w:p w14:paraId="510F1B9E" w14:textId="5CCAC6C4" w:rsidR="00581CFB" w:rsidRDefault="0058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The Events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Coordinators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are responsible for planning and running the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major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social 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and fundraising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event for Insight</w:t>
            </w:r>
            <w:r w:rsidR="00522EAA">
              <w:rPr>
                <w:rFonts w:ascii="Arial Narrow" w:eastAsia="Arial Narrow" w:hAnsi="Arial Narrow" w:cs="Arial Narrow"/>
                <w:sz w:val="22"/>
                <w:szCs w:val="22"/>
              </w:rPr>
              <w:t>. You’ll aim to inspire other students to become engaged with global health issues and you’ll be raising money for Insight’s projects both at home and abroad.</w:t>
            </w:r>
          </w:p>
          <w:p w14:paraId="55ABA2C3" w14:textId="348FE556" w:rsidR="00581CFB" w:rsidRDefault="0058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F5DED8F" w14:textId="4993F6B6" w:rsidR="00581CFB" w:rsidRPr="00581CFB" w:rsidRDefault="0058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Practical aspects of the role</w:t>
            </w:r>
          </w:p>
          <w:p w14:paraId="1CEBDB00" w14:textId="76228AA1" w:rsidR="00246246" w:rsidRDefault="00522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Usually, one major fundraiser takes place per semester, generally </w:t>
            </w:r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>in 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he form of the </w:t>
            </w:r>
            <w:r w:rsidR="0060041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Photo and Art Exhibition and the Quiz Night. </w:t>
            </w:r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As the 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vents 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fficer, you will </w:t>
            </w:r>
            <w:proofErr w:type="gramStart"/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>be in charge of</w:t>
            </w:r>
            <w:proofErr w:type="gramEnd"/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either developing new events or improving existing ones. The officers will need to plan, </w:t>
            </w:r>
            <w:proofErr w:type="gramStart"/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>promote</w:t>
            </w:r>
            <w:proofErr w:type="gramEnd"/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and execute each event and will have the opportunity to form your own subcommittees from other Insight members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early in the year</w:t>
            </w:r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  <w:r w:rsidR="0060041D">
              <w:rPr>
                <w:rFonts w:ascii="Arial Narrow" w:eastAsia="Arial Narrow" w:hAnsi="Arial Narrow" w:cs="Arial Narrow"/>
                <w:sz w:val="22"/>
                <w:szCs w:val="22"/>
              </w:rPr>
              <w:t>We’re constantly looking for ways to update and improve our events and so this role is best suited for a duo with a creative side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and </w:t>
            </w:r>
            <w:r w:rsidR="00B3020B">
              <w:rPr>
                <w:rFonts w:ascii="Arial Narrow" w:eastAsia="Arial Narrow" w:hAnsi="Arial Narrow" w:cs="Arial Narrow"/>
                <w:sz w:val="22"/>
                <w:szCs w:val="22"/>
              </w:rPr>
              <w:t>good time management abilities.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>In 2020 and 2021,</w:t>
            </w:r>
            <w:r w:rsidR="00C47B8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due to COVID restrictions</w:t>
            </w:r>
            <w:r w:rsidR="00A85419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="00C47B8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the two events got combined into one, and there was no talent show. </w:t>
            </w:r>
          </w:p>
        </w:tc>
      </w:tr>
      <w:tr w:rsidR="00246246" w14:paraId="08A43630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0CEF8B34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Positives of position: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BBF13A" w14:textId="77777777" w:rsidR="00246246" w:rsidRDefault="006004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Fun!</w:t>
            </w:r>
          </w:p>
          <w:p w14:paraId="312225C6" w14:textId="3DBE236E" w:rsidR="00246246" w:rsidRDefault="006004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Work closely with the other members of the committee - normally the committee is super supportive </w:t>
            </w:r>
            <w:r w:rsidR="00C47B88">
              <w:rPr>
                <w:rFonts w:ascii="Arial Narrow" w:eastAsia="Arial Narrow" w:hAnsi="Arial Narrow" w:cs="Arial Narrow"/>
                <w:sz w:val="22"/>
                <w:szCs w:val="22"/>
              </w:rPr>
              <w:t>and helpful</w:t>
            </w:r>
          </w:p>
          <w:p w14:paraId="060FDF65" w14:textId="77777777" w:rsidR="00246246" w:rsidRDefault="006004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Add your own creative flair to events</w:t>
            </w:r>
          </w:p>
          <w:p w14:paraId="29F9DD97" w14:textId="22F3C9A4" w:rsidR="00246246" w:rsidRDefault="006004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Work as a pair </w:t>
            </w:r>
            <w:r w:rsidR="00816AB1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816AB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provides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support and </w:t>
            </w:r>
            <w:r w:rsidR="00816AB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easier to create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new ideas </w:t>
            </w:r>
          </w:p>
          <w:p w14:paraId="71B6B0A9" w14:textId="77777777" w:rsidR="00246246" w:rsidRDefault="006004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Super satisfying to see your efforts come together in a night </w:t>
            </w:r>
          </w:p>
        </w:tc>
      </w:tr>
      <w:tr w:rsidR="00246246" w14:paraId="75C49689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1EBF8D68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Negatives of position: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F1014A" w14:textId="5943190F" w:rsidR="00246246" w:rsidRPr="00816AB1" w:rsidRDefault="0060041D" w:rsidP="00816A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Time consuming</w:t>
            </w:r>
            <w:r w:rsidR="00C47B8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closer to the events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816AB1">
              <w:rPr>
                <w:rFonts w:ascii="Arial Narrow" w:eastAsia="Arial Narrow" w:hAnsi="Arial Narrow" w:cs="Arial Narrow"/>
                <w:sz w:val="22"/>
                <w:szCs w:val="22"/>
              </w:rPr>
              <w:t>(can be stressful in the weeks leading up to the event)</w:t>
            </w:r>
            <w:r w:rsidR="00816AB1">
              <w:rPr>
                <w:sz w:val="22"/>
                <w:szCs w:val="22"/>
              </w:rPr>
              <w:t xml:space="preserve"> - </w:t>
            </w:r>
            <w:r w:rsidR="00B3020B" w:rsidRPr="00816AB1">
              <w:rPr>
                <w:rFonts w:ascii="Arial Narrow" w:eastAsia="Arial Narrow" w:hAnsi="Arial Narrow" w:cs="Arial Narrow"/>
                <w:sz w:val="22"/>
                <w:szCs w:val="22"/>
              </w:rPr>
              <w:t>support is available through the committee.</w:t>
            </w:r>
          </w:p>
          <w:p w14:paraId="2A901D66" w14:textId="31085F5C" w:rsidR="00246246" w:rsidRPr="00C47B88" w:rsidRDefault="0060041D" w:rsidP="00C47B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Can be hard to place events at appropriate times to fit in with the busy med school calendar </w:t>
            </w:r>
            <w:r w:rsidR="00816AB1">
              <w:rPr>
                <w:rFonts w:ascii="Arial Narrow" w:eastAsia="Arial Narrow" w:hAnsi="Arial Narrow" w:cs="Arial Narrow"/>
                <w:sz w:val="22"/>
                <w:szCs w:val="22"/>
              </w:rPr>
              <w:t>so it’s difficult to estimate when you’ll be busy (for 2021, it was end of March)</w:t>
            </w:r>
          </w:p>
        </w:tc>
      </w:tr>
      <w:tr w:rsidR="00246246" w14:paraId="071C1529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11D006B9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Time required: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4FAE26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5-10 hours per week to entire days at the time of the event. Much less (1-2 hours) when the event isn’t as close </w:t>
            </w:r>
          </w:p>
          <w:p w14:paraId="749EB1E8" w14:textId="3E573295" w:rsidR="00816AB1" w:rsidRDefault="00816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Helping out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at events throughout the rest of the year</w:t>
            </w:r>
          </w:p>
        </w:tc>
      </w:tr>
      <w:tr w:rsidR="00246246" w14:paraId="0B90B204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B646D61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Ideas for the future: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C517E0" w14:textId="323C411E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Possibly amalgamation of the semester 1 event with a different portfolio.</w:t>
            </w:r>
          </w:p>
          <w:p w14:paraId="4C9ADE36" w14:textId="3DCEF3EF" w:rsidR="00816AB1" w:rsidRDefault="00816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16AB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HYPA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</w:t>
            </w:r>
            <w:r w:rsidRPr="00816AB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olunteering +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 w:rsidRPr="00816AB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ural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 w:rsidRPr="00816AB1">
              <w:rPr>
                <w:rFonts w:ascii="Arial Narrow" w:eastAsia="Arial Narrow" w:hAnsi="Arial Narrow" w:cs="Arial Narrow"/>
                <w:sz w:val="22"/>
                <w:szCs w:val="22"/>
              </w:rPr>
              <w:t>ainting at new venue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+ health seminar</w:t>
            </w:r>
          </w:p>
          <w:p w14:paraId="4231CCF5" w14:textId="08A841A9" w:rsidR="00295538" w:rsidRDefault="0060041D" w:rsidP="0029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If you think you’ve got a great idea for the direction of </w:t>
            </w:r>
            <w:r w:rsidR="00295538">
              <w:rPr>
                <w:rFonts w:ascii="Arial Narrow" w:eastAsia="Arial Narrow" w:hAnsi="Arial Narrow" w:cs="Arial Narrow"/>
                <w:sz w:val="22"/>
                <w:szCs w:val="22"/>
              </w:rPr>
              <w:t>events,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then this is your chance!</w:t>
            </w:r>
          </w:p>
        </w:tc>
      </w:tr>
      <w:tr w:rsidR="00246246" w14:paraId="57565F80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90A0338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Experience required: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2A44ED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Nil – but experience running other events would be beneficial</w:t>
            </w:r>
          </w:p>
          <w:p w14:paraId="10A2F9D0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NB: Having a car is not essential but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definitely is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beneficial. If you don’t have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one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make sure your partner does. </w:t>
            </w:r>
          </w:p>
        </w:tc>
      </w:tr>
      <w:tr w:rsidR="00246246" w:rsidRPr="00295538" w14:paraId="29E284F2" w14:textId="7777777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79AA185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Past office bearers: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F3EE51" w14:textId="6A4B70D5" w:rsidR="00C47B88" w:rsidRDefault="00C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2019: Poonam Rajput (MBBS II) and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Rozhin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Teimournezhad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(MBBS II)</w:t>
            </w:r>
          </w:p>
          <w:p w14:paraId="723333FE" w14:textId="6DA444E5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2018: Florencia Moraga (MBBS II) and Eliza Kennedy (MBBS II)</w:t>
            </w:r>
          </w:p>
          <w:p w14:paraId="315E9ED2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2017: Meghna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Shelke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(MBBS IV) and Olivia Nguyen (MBBS IV) </w:t>
            </w:r>
          </w:p>
          <w:p w14:paraId="15FFA865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2016: Daniella Nolan (MBBS II) and Charlotte Pugh (MBBS IV)</w:t>
            </w:r>
          </w:p>
          <w:p w14:paraId="0BEBF6D2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2015: Tue Le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(MBBS VI)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and Brian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Gue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(MBBS VI)</w:t>
            </w:r>
          </w:p>
          <w:p w14:paraId="76689EBE" w14:textId="77777777" w:rsidR="00246246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2014: Steph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(MBBS II)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and Emma Kelly (MBBS II)</w:t>
            </w:r>
          </w:p>
          <w:p w14:paraId="35DE3D4D" w14:textId="61EA1E96" w:rsidR="00246246" w:rsidRPr="00C47B88" w:rsidRDefault="006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2013: Samuel Kwok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(MBBS IV)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and Annabelle Hayes (MBBS IV)</w:t>
            </w:r>
          </w:p>
        </w:tc>
      </w:tr>
    </w:tbl>
    <w:p w14:paraId="721306D0" w14:textId="77777777" w:rsidR="00246246" w:rsidRPr="00295538" w:rsidRDefault="0024624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it-IT"/>
        </w:rPr>
      </w:pPr>
    </w:p>
    <w:sectPr w:rsidR="00246246" w:rsidRPr="00295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0C9A" w14:textId="77777777" w:rsidR="00C56B73" w:rsidRDefault="00C56B73">
      <w:r>
        <w:separator/>
      </w:r>
    </w:p>
  </w:endnote>
  <w:endnote w:type="continuationSeparator" w:id="0">
    <w:p w14:paraId="06F6C8A2" w14:textId="77777777" w:rsidR="00C56B73" w:rsidRDefault="00C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928B" w14:textId="77777777" w:rsidR="00581CFB" w:rsidRDefault="00581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3D14" w14:textId="77777777" w:rsidR="00581CFB" w:rsidRDefault="00581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F931" w14:textId="77777777" w:rsidR="00581CFB" w:rsidRDefault="00581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59A1" w14:textId="77777777" w:rsidR="00C56B73" w:rsidRDefault="00C56B73">
      <w:r>
        <w:separator/>
      </w:r>
    </w:p>
  </w:footnote>
  <w:footnote w:type="continuationSeparator" w:id="0">
    <w:p w14:paraId="69F94D26" w14:textId="77777777" w:rsidR="00C56B73" w:rsidRDefault="00C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C6EC" w14:textId="77777777" w:rsidR="00581CFB" w:rsidRDefault="00581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E5AD" w14:textId="77777777" w:rsidR="00246246" w:rsidRDefault="002462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DBEF" w14:textId="77777777" w:rsidR="00581CFB" w:rsidRDefault="00581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FD6"/>
    <w:multiLevelType w:val="multilevel"/>
    <w:tmpl w:val="42A0709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4840794E"/>
    <w:multiLevelType w:val="multilevel"/>
    <w:tmpl w:val="EE6AF21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46"/>
    <w:rsid w:val="00246246"/>
    <w:rsid w:val="00295538"/>
    <w:rsid w:val="002D1C27"/>
    <w:rsid w:val="00337204"/>
    <w:rsid w:val="00522EAA"/>
    <w:rsid w:val="00581CFB"/>
    <w:rsid w:val="005E0202"/>
    <w:rsid w:val="0060041D"/>
    <w:rsid w:val="007F19C9"/>
    <w:rsid w:val="00816AB1"/>
    <w:rsid w:val="008F0805"/>
    <w:rsid w:val="00A54EB1"/>
    <w:rsid w:val="00A85419"/>
    <w:rsid w:val="00B3020B"/>
    <w:rsid w:val="00B55D41"/>
    <w:rsid w:val="00C47B88"/>
    <w:rsid w:val="00C56B73"/>
    <w:rsid w:val="00D2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621A7"/>
  <w15:docId w15:val="{B8E96A8E-A8AF-FC47-A0C9-E0BDC74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CFB"/>
  </w:style>
  <w:style w:type="paragraph" w:styleId="Footer">
    <w:name w:val="footer"/>
    <w:basedOn w:val="Normal"/>
    <w:link w:val="FooterChar"/>
    <w:uiPriority w:val="99"/>
    <w:unhideWhenUsed/>
    <w:rsid w:val="0058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insight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 Rajput</dc:creator>
  <cp:lastModifiedBy>cxu127@outlook.com</cp:lastModifiedBy>
  <cp:revision>6</cp:revision>
  <dcterms:created xsi:type="dcterms:W3CDTF">2020-09-14T05:00:00Z</dcterms:created>
  <dcterms:modified xsi:type="dcterms:W3CDTF">2021-09-21T10:48:00Z</dcterms:modified>
</cp:coreProperties>
</file>