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304B" w14:textId="135DBECB" w:rsidR="00691031" w:rsidRDefault="009F5B7E">
      <w:pPr>
        <w:ind w:left="-1200"/>
        <w:rPr>
          <w:rFonts w:ascii="Belleza" w:eastAsia="Belleza" w:hAnsi="Belleza" w:cs="Belleza"/>
          <w:b/>
          <w:color w:val="00004C"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hidden="0" allowOverlap="1" wp14:anchorId="01EF9CD5" wp14:editId="0CFB01D4">
            <wp:simplePos x="0" y="0"/>
            <wp:positionH relativeFrom="margin">
              <wp:posOffset>4116070</wp:posOffset>
            </wp:positionH>
            <wp:positionV relativeFrom="paragraph">
              <wp:posOffset>-603685</wp:posOffset>
            </wp:positionV>
            <wp:extent cx="2176145" cy="719455"/>
            <wp:effectExtent l="0" t="0" r="0" b="4445"/>
            <wp:wrapNone/>
            <wp:docPr id="1" name="image2.jpg" descr="G:\Insight\Insight Secretary Handover 2011\Insight logo_blue_neat ed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:\Insight\Insight Secretary Handover 2011\Insight logo_blue_neat edge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5995">
        <w:rPr>
          <w:rFonts w:ascii="Belleza" w:eastAsia="Belleza" w:hAnsi="Belleza" w:cs="Belleza"/>
          <w:b/>
          <w:color w:val="00004C"/>
          <w:sz w:val="32"/>
          <w:szCs w:val="32"/>
        </w:rPr>
        <w:t>Sponsorship Officer</w:t>
      </w:r>
    </w:p>
    <w:p w14:paraId="49D8842A" w14:textId="64321234" w:rsidR="00691031" w:rsidRDefault="00CB430A">
      <w:pPr>
        <w:ind w:left="-1200"/>
        <w:rPr>
          <w:rFonts w:ascii="Belleza" w:eastAsia="Belleza" w:hAnsi="Belleza" w:cs="Belleza"/>
          <w:b/>
          <w:color w:val="4A86E8"/>
        </w:rPr>
      </w:pPr>
      <w:r>
        <w:rPr>
          <w:rFonts w:ascii="Belleza" w:eastAsia="Belleza" w:hAnsi="Belleza" w:cs="Belleza"/>
          <w:b/>
          <w:color w:val="4A86E8"/>
        </w:rPr>
        <w:t>Bora</w:t>
      </w:r>
      <w:r w:rsidR="00C36A85">
        <w:rPr>
          <w:rFonts w:ascii="Belleza" w:eastAsia="Belleza" w:hAnsi="Belleza" w:cs="Belleza"/>
          <w:b/>
          <w:color w:val="4A86E8"/>
        </w:rPr>
        <w:t xml:space="preserve"> </w:t>
      </w:r>
      <w:r>
        <w:rPr>
          <w:rFonts w:ascii="Belleza" w:eastAsia="Belleza" w:hAnsi="Belleza" w:cs="Belleza"/>
          <w:b/>
          <w:color w:val="4A86E8"/>
        </w:rPr>
        <w:t>Hyoung</w:t>
      </w:r>
      <w:r w:rsidR="00C36A85">
        <w:rPr>
          <w:rFonts w:ascii="Belleza" w:eastAsia="Belleza" w:hAnsi="Belleza" w:cs="Belleza"/>
          <w:b/>
          <w:color w:val="4A86E8"/>
        </w:rPr>
        <w:t xml:space="preserve"> </w:t>
      </w:r>
      <w:r w:rsidR="00365995">
        <w:rPr>
          <w:rFonts w:ascii="Belleza" w:eastAsia="Belleza" w:hAnsi="Belleza" w:cs="Belleza"/>
          <w:b/>
          <w:color w:val="4A86E8"/>
        </w:rPr>
        <w:t>(MBBS I</w:t>
      </w:r>
      <w:r>
        <w:rPr>
          <w:rFonts w:ascii="Belleza" w:eastAsia="Belleza" w:hAnsi="Belleza" w:cs="Belleza"/>
          <w:b/>
          <w:color w:val="4A86E8"/>
        </w:rPr>
        <w:t>II</w:t>
      </w:r>
      <w:r w:rsidR="00365995">
        <w:rPr>
          <w:rFonts w:ascii="Belleza" w:eastAsia="Belleza" w:hAnsi="Belleza" w:cs="Belleza"/>
          <w:b/>
          <w:color w:val="4A86E8"/>
        </w:rPr>
        <w:t xml:space="preserve">) </w:t>
      </w:r>
    </w:p>
    <w:p w14:paraId="12530DB6" w14:textId="77777777" w:rsidR="00691031" w:rsidRDefault="004C2099">
      <w:pPr>
        <w:ind w:left="-1200"/>
        <w:rPr>
          <w:rFonts w:ascii="Belleza" w:eastAsia="Belleza" w:hAnsi="Belleza" w:cs="Belleza"/>
          <w:b/>
          <w:color w:val="A50021"/>
        </w:rPr>
      </w:pPr>
      <w:hyperlink r:id="rId8">
        <w:r w:rsidR="00365995">
          <w:rPr>
            <w:rFonts w:ascii="Belleza" w:eastAsia="Belleza" w:hAnsi="Belleza" w:cs="Belleza"/>
            <w:b/>
            <w:color w:val="1155CC"/>
            <w:u w:val="single"/>
          </w:rPr>
          <w:t>sponsorship@insight.org.au</w:t>
        </w:r>
      </w:hyperlink>
      <w:r w:rsidR="00365995">
        <w:rPr>
          <w:rFonts w:ascii="Belleza" w:eastAsia="Belleza" w:hAnsi="Belleza" w:cs="Belleza"/>
          <w:b/>
          <w:color w:val="A50021"/>
        </w:rPr>
        <w:t xml:space="preserve"> </w:t>
      </w:r>
    </w:p>
    <w:p w14:paraId="1741B96A" w14:textId="77777777" w:rsidR="00691031" w:rsidRDefault="00691031"/>
    <w:tbl>
      <w:tblPr>
        <w:tblStyle w:val="a"/>
        <w:tblW w:w="10560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7905"/>
      </w:tblGrid>
      <w:tr w:rsidR="00691031" w14:paraId="1D64FB06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F72D71F" w14:textId="77777777" w:rsidR="00691031" w:rsidRDefault="0036599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Name of position:</w:t>
            </w:r>
          </w:p>
        </w:tc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B3A246" w14:textId="77777777" w:rsidR="00691031" w:rsidRDefault="0036599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Sponsorship Officer</w:t>
            </w:r>
          </w:p>
        </w:tc>
      </w:tr>
      <w:tr w:rsidR="00691031" w14:paraId="7BB14724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5FED35F" w14:textId="77777777" w:rsidR="00691031" w:rsidRDefault="00365995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Elected:</w:t>
            </w:r>
          </w:p>
        </w:tc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FFB435" w14:textId="77777777" w:rsidR="00691031" w:rsidRDefault="00365995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At AGM, by secret ballot</w:t>
            </w:r>
          </w:p>
        </w:tc>
      </w:tr>
      <w:tr w:rsidR="00691031" w14:paraId="2605C452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5B0333E0" w14:textId="77777777" w:rsidR="00691031" w:rsidRDefault="00365995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Position description and main roles: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642B1E" w14:textId="77777777" w:rsidR="009F5B7E" w:rsidRPr="00E241F3" w:rsidRDefault="009F5B7E" w:rsidP="009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>Educate, Inspire, Empower</w:t>
            </w:r>
          </w:p>
          <w:p w14:paraId="23D6F2CB" w14:textId="5672423A" w:rsidR="009F5B7E" w:rsidRDefault="009F5B7E" w:rsidP="009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The Sponsorship Officer (SO) oversees the relationships between Insight and the varied organisations that choose to support it. SO’s main responsibility is to guarantee </w:t>
            </w:r>
            <w:r w:rsidR="007F5756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Insight’s financial viability, thus enabling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us to </w:t>
            </w:r>
            <w:r w:rsidR="007F5756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continue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educat</w:t>
            </w:r>
            <w:r w:rsidR="00A3041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ing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students </w:t>
            </w:r>
            <w:r w:rsidR="00A3041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through inspiring events</w:t>
            </w:r>
            <w:r w:rsidR="00C3189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;</w:t>
            </w:r>
            <w:r w:rsidR="00A3041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empowering them to </w:t>
            </w:r>
            <w:r w:rsidR="00AC5D4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practical action in the </w:t>
            </w:r>
            <w:r w:rsidR="008B1D2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space of global health.</w:t>
            </w:r>
          </w:p>
          <w:p w14:paraId="082D27DF" w14:textId="77777777" w:rsidR="009F5B7E" w:rsidRDefault="009F5B7E" w:rsidP="009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>What the role involves</w:t>
            </w:r>
          </w:p>
          <w:p w14:paraId="475F4C7C" w14:textId="77777777" w:rsidR="009F5B7E" w:rsidRDefault="009F5B7E" w:rsidP="009F5B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Organising MoU’s (Memorandum of Understanding) with major sponsors. Requires ability to negotiate and to write documents in precise language. </w:t>
            </w:r>
          </w:p>
          <w:p w14:paraId="2E060CE9" w14:textId="0DA53DF5" w:rsidR="009F5B7E" w:rsidRDefault="009F5B7E" w:rsidP="009F5B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Maintenance of sponsorship relationships. The SO will meet with the sponsors at the </w:t>
            </w:r>
            <w:r w:rsidR="00CB430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end/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start of the year and discuss which events they wish to attend/other promotions they desire and keep in regular contact. Balancing the desires of sponsors with the wishes of event conveners can be challenging. Can be summarised as “keeping sponsors happy”. </w:t>
            </w:r>
          </w:p>
          <w:p w14:paraId="392A14A5" w14:textId="77777777" w:rsidR="009F5B7E" w:rsidRDefault="009F5B7E" w:rsidP="009F5B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Seeking out new sponsors. More money will allow Insight to support more worthwhile projects, if time allows the SO should attempt to secure further sponsorship. </w:t>
            </w:r>
          </w:p>
          <w:p w14:paraId="1E66DB28" w14:textId="77777777" w:rsidR="009F5B7E" w:rsidRDefault="009F5B7E" w:rsidP="009F5B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Organising donations in kind for fundraisers. Involves recruiting volunteers from the committee/exec to seek out prizes/raffle items for fundraising. </w:t>
            </w:r>
          </w:p>
          <w:p w14:paraId="6AF23F82" w14:textId="77777777" w:rsidR="009F5B7E" w:rsidRDefault="009F5B7E" w:rsidP="009F5B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General executive roles. Includes attending exec meetings, supporting event conveners where possible and providing thoughts on Insight’s strategic direction in the short to long term. </w:t>
            </w:r>
          </w:p>
          <w:p w14:paraId="394BA500" w14:textId="0FE7D5AC" w:rsidR="00691031" w:rsidRPr="0009715F" w:rsidRDefault="0009715F" w:rsidP="0009715F"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Since 2018, </w:t>
            </w:r>
            <w:r w:rsidR="009F5B7E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the Sponsorship officer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has also</w:t>
            </w:r>
            <w:r w:rsidR="009F5B7E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chaired a subcommittee, to aid the sponsorship portfolio and also work with other portfolios within the committee</w:t>
            </w:r>
          </w:p>
        </w:tc>
      </w:tr>
      <w:tr w:rsidR="00691031" w14:paraId="2C0FE530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6495707" w14:textId="77777777" w:rsidR="00691031" w:rsidRDefault="00365995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Positives of position:</w:t>
            </w:r>
          </w:p>
        </w:tc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9C8E33" w14:textId="77777777" w:rsidR="00691031" w:rsidRDefault="00365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Providing a vital service to an organisation making a small contribution to healthcare in at-risk populations </w:t>
            </w:r>
          </w:p>
          <w:p w14:paraId="3F07E829" w14:textId="38820C0C" w:rsidR="00691031" w:rsidRDefault="00365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Can be very satisfying to secure large sums of money or raffle items</w:t>
            </w:r>
            <w:r w:rsidR="007964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or new sponsors!</w:t>
            </w:r>
          </w:p>
          <w:p w14:paraId="2D623820" w14:textId="77777777" w:rsidR="00691031" w:rsidRDefault="00365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Upskilling in legal document writing, negotiation &amp; client management </w:t>
            </w:r>
          </w:p>
        </w:tc>
      </w:tr>
      <w:tr w:rsidR="00691031" w14:paraId="372F6A2B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78D839CD" w14:textId="77777777" w:rsidR="00691031" w:rsidRDefault="00365995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Negatives of position:</w:t>
            </w:r>
          </w:p>
        </w:tc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2E65BC" w14:textId="77777777" w:rsidR="00691031" w:rsidRDefault="003659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Can be time-consuming at the start of the year when MoU’s need to be reviewed, renewed or re-negotiated. </w:t>
            </w:r>
          </w:p>
          <w:p w14:paraId="0101A54F" w14:textId="77777777" w:rsidR="00691031" w:rsidRDefault="003659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Sponsor requests may be difficult to achieve or be counter-productive to the success of an event </w:t>
            </w:r>
          </w:p>
        </w:tc>
      </w:tr>
      <w:tr w:rsidR="00691031" w14:paraId="397979AA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3108BC61" w14:textId="77777777" w:rsidR="00691031" w:rsidRDefault="00365995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Time required:</w:t>
            </w:r>
          </w:p>
        </w:tc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2FA27D" w14:textId="4CAFC8CE" w:rsidR="00691031" w:rsidRDefault="00365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Probably averages </w:t>
            </w:r>
            <w:r w:rsidR="007964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hours a week.</w:t>
            </w:r>
            <w:r w:rsidR="00B63DD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Mainly emails to let sponsors know about upcoming events and following up post-event for their feedback.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In first part of the year it was considerably more than this due</w:t>
            </w:r>
            <w:r w:rsidR="00EF40C9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to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7964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meetings with sponsors to sign </w:t>
            </w:r>
            <w:proofErr w:type="spellStart"/>
            <w:r w:rsidR="007964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MoUs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. </w:t>
            </w:r>
            <w:r w:rsidR="00B63DD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The Sponsorship officer generally</w:t>
            </w:r>
            <w:r w:rsidR="007964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assist</w:t>
            </w:r>
            <w:r w:rsidR="00B63DD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</w:t>
            </w:r>
            <w:r w:rsidR="0079648A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other committee members with events (writing to food sponsors etc.)</w:t>
            </w:r>
            <w:r w:rsidR="00B63DDD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as well</w:t>
            </w:r>
            <w:r w:rsidR="00B519B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</w:tr>
      <w:tr w:rsidR="00691031" w14:paraId="098FD23E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043D49F3" w14:textId="77777777" w:rsidR="00691031" w:rsidRDefault="00365995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Ideas for the future:</w:t>
            </w:r>
          </w:p>
        </w:tc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A5F409" w14:textId="74BCF3F4" w:rsidR="00691031" w:rsidRDefault="00B63DDD" w:rsidP="00A40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0" w:name="_ttb5b0s76lqj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Always on the lookout for potential new sponsors</w:t>
            </w:r>
            <w:r w:rsidR="0009715F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and also reigniting relationships with past sponsors</w:t>
            </w:r>
            <w:r w:rsidR="00A4077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!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A4077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</w:t>
            </w:r>
            <w:r w:rsidR="0036599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xploring dental sponsor</w:t>
            </w:r>
            <w:r w:rsidR="00A4077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 and</w:t>
            </w:r>
            <w:r w:rsidR="0036599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improving the donation in kind process</w:t>
            </w:r>
            <w:r w:rsidR="00A40777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are other good ideas. </w:t>
            </w:r>
            <w:bookmarkStart w:id="1" w:name="_gjdgxs" w:colFirst="0" w:colLast="0"/>
            <w:bookmarkEnd w:id="1"/>
          </w:p>
        </w:tc>
      </w:tr>
      <w:tr w:rsidR="00691031" w14:paraId="2BBDF1F8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6D81473F" w14:textId="77777777" w:rsidR="00691031" w:rsidRDefault="00365995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Experience required:</w:t>
            </w:r>
          </w:p>
        </w:tc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973AF8" w14:textId="77777777" w:rsidR="00691031" w:rsidRDefault="00365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None mandatory. Relevant experience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: sponsorship officer for another group, participation in donations in kind) is desirable. </w:t>
            </w:r>
          </w:p>
        </w:tc>
      </w:tr>
      <w:tr w:rsidR="00691031" w14:paraId="37B82510" w14:textId="77777777"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30F88193" w14:textId="77777777" w:rsidR="00691031" w:rsidRDefault="00365995">
            <w:pP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Past office bearers:</w:t>
            </w:r>
          </w:p>
        </w:tc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0D316A" w14:textId="7B2AA6A2" w:rsidR="00CB430A" w:rsidRDefault="00CB4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2021: Bora Hyoung (MBBS III)</w:t>
            </w:r>
          </w:p>
          <w:p w14:paraId="4957C1BE" w14:textId="6FF13F10" w:rsidR="0009715F" w:rsidRDefault="0009715F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2020: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Yeji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Kim (MBBS IV)</w:t>
            </w:r>
          </w:p>
          <w:p w14:paraId="60E4AA51" w14:textId="65C81EF0" w:rsidR="00C36A85" w:rsidRDefault="00C36A8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2019: Shanna Lee (MBBS III)</w:t>
            </w:r>
          </w:p>
          <w:p w14:paraId="488FAD02" w14:textId="2D1D8784" w:rsidR="00691031" w:rsidRDefault="0036599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2018: Mary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Premnath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(MBBS IV)</w:t>
            </w:r>
          </w:p>
          <w:p w14:paraId="4AECFFF1" w14:textId="77777777" w:rsidR="00691031" w:rsidRDefault="0036599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2017: Shaun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Gerschwitz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(MBBS III) </w:t>
            </w:r>
          </w:p>
          <w:p w14:paraId="01238EB5" w14:textId="77777777" w:rsidR="00691031" w:rsidRDefault="00365995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2016: Marina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Spajic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(MBBS IV)</w:t>
            </w:r>
          </w:p>
          <w:p w14:paraId="4C26542D" w14:textId="77777777" w:rsidR="00691031" w:rsidRDefault="00365995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2015: Thomas O’Neill (MBBS IV) </w:t>
            </w:r>
          </w:p>
          <w:p w14:paraId="75781272" w14:textId="77777777" w:rsidR="00691031" w:rsidRDefault="00365995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2014: Megan Wild (MBBS VI) </w:t>
            </w:r>
          </w:p>
          <w:p w14:paraId="1A688B63" w14:textId="77777777" w:rsidR="00691031" w:rsidRDefault="00365995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2013: Xi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Cicy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) Li (MBBS IV) </w:t>
            </w:r>
          </w:p>
        </w:tc>
      </w:tr>
    </w:tbl>
    <w:p w14:paraId="5207E2EE" w14:textId="2D567A3F" w:rsidR="00E241F3" w:rsidRDefault="00E241F3"/>
    <w:sectPr w:rsidR="00E241F3">
      <w:headerReference w:type="default" r:id="rId9"/>
      <w:pgSz w:w="11907" w:h="16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4651" w14:textId="77777777" w:rsidR="004C2099" w:rsidRDefault="004C2099">
      <w:r>
        <w:separator/>
      </w:r>
    </w:p>
  </w:endnote>
  <w:endnote w:type="continuationSeparator" w:id="0">
    <w:p w14:paraId="2530E058" w14:textId="77777777" w:rsidR="004C2099" w:rsidRDefault="004C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2007" w14:textId="77777777" w:rsidR="004C2099" w:rsidRDefault="004C2099">
      <w:r>
        <w:separator/>
      </w:r>
    </w:p>
  </w:footnote>
  <w:footnote w:type="continuationSeparator" w:id="0">
    <w:p w14:paraId="4270C9C5" w14:textId="77777777" w:rsidR="004C2099" w:rsidRDefault="004C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D525" w14:textId="77777777" w:rsidR="00691031" w:rsidRDefault="006910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09BB"/>
    <w:multiLevelType w:val="multilevel"/>
    <w:tmpl w:val="F858EF3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362B50B0"/>
    <w:multiLevelType w:val="multilevel"/>
    <w:tmpl w:val="69823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42C2"/>
    <w:multiLevelType w:val="multilevel"/>
    <w:tmpl w:val="81D2D38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75F7522D"/>
    <w:multiLevelType w:val="multilevel"/>
    <w:tmpl w:val="69823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031"/>
    <w:rsid w:val="0009715F"/>
    <w:rsid w:val="001A406E"/>
    <w:rsid w:val="00211FD4"/>
    <w:rsid w:val="00365995"/>
    <w:rsid w:val="004C2099"/>
    <w:rsid w:val="005927A1"/>
    <w:rsid w:val="00691031"/>
    <w:rsid w:val="0079648A"/>
    <w:rsid w:val="007F5756"/>
    <w:rsid w:val="00855053"/>
    <w:rsid w:val="008B1D20"/>
    <w:rsid w:val="009F5B7E"/>
    <w:rsid w:val="00A3041D"/>
    <w:rsid w:val="00A40777"/>
    <w:rsid w:val="00AC5D40"/>
    <w:rsid w:val="00B519BE"/>
    <w:rsid w:val="00B63DDD"/>
    <w:rsid w:val="00B84B83"/>
    <w:rsid w:val="00C31895"/>
    <w:rsid w:val="00C36A85"/>
    <w:rsid w:val="00CB430A"/>
    <w:rsid w:val="00E241F3"/>
    <w:rsid w:val="00EF40C9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FB57"/>
  <w15:docId w15:val="{4365EF48-606C-7349-98B9-F7C9174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4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1F3"/>
  </w:style>
  <w:style w:type="paragraph" w:styleId="Footer">
    <w:name w:val="footer"/>
    <w:basedOn w:val="Normal"/>
    <w:link w:val="FooterChar"/>
    <w:uiPriority w:val="99"/>
    <w:unhideWhenUsed/>
    <w:rsid w:val="00E24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@insight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Bora Hyoung</cp:lastModifiedBy>
  <cp:revision>21</cp:revision>
  <dcterms:created xsi:type="dcterms:W3CDTF">2019-09-19T01:16:00Z</dcterms:created>
  <dcterms:modified xsi:type="dcterms:W3CDTF">2021-09-10T05:14:00Z</dcterms:modified>
</cp:coreProperties>
</file>